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F8D41" w14:textId="57C1B3EA" w:rsidR="00C00128" w:rsidRPr="00C00128" w:rsidRDefault="00C00128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Network </w:t>
      </w:r>
      <w:r w:rsidRPr="00C00128">
        <w:rPr>
          <w:rFonts w:cstheme="minorHAnsi"/>
          <w:b/>
          <w:sz w:val="28"/>
          <w:szCs w:val="28"/>
        </w:rPr>
        <w:t>“Interreligious Dialogue in Contemporary Context”</w:t>
      </w:r>
    </w:p>
    <w:p w14:paraId="64FEAEBB" w14:textId="1EE22527" w:rsidR="000E6337" w:rsidRPr="00963018" w:rsidRDefault="00C25F29">
      <w:pPr>
        <w:jc w:val="center"/>
        <w:rPr>
          <w:rFonts w:cstheme="minorHAnsi"/>
          <w:sz w:val="28"/>
          <w:szCs w:val="28"/>
        </w:rPr>
      </w:pPr>
      <w:r w:rsidRPr="00963018">
        <w:rPr>
          <w:rFonts w:cstheme="minorHAnsi"/>
          <w:sz w:val="28"/>
          <w:szCs w:val="28"/>
        </w:rPr>
        <w:t xml:space="preserve">CEEPUS </w:t>
      </w:r>
      <w:proofErr w:type="spellStart"/>
      <w:r w:rsidRPr="00963018">
        <w:rPr>
          <w:rFonts w:cstheme="minorHAnsi"/>
          <w:sz w:val="28"/>
          <w:szCs w:val="28"/>
        </w:rPr>
        <w:t>Mobilities</w:t>
      </w:r>
      <w:proofErr w:type="spellEnd"/>
      <w:r w:rsidRPr="00963018">
        <w:rPr>
          <w:rFonts w:cstheme="minorHAnsi"/>
          <w:sz w:val="28"/>
          <w:szCs w:val="28"/>
        </w:rPr>
        <w:t xml:space="preserve"> Wanted in the</w:t>
      </w:r>
      <w:r w:rsidR="00D653E8">
        <w:rPr>
          <w:rFonts w:cstheme="minorHAnsi"/>
          <w:sz w:val="28"/>
          <w:szCs w:val="28"/>
        </w:rPr>
        <w:t xml:space="preserve"> summer semester of</w:t>
      </w:r>
      <w:r w:rsidRPr="00963018">
        <w:rPr>
          <w:rFonts w:cstheme="minorHAnsi"/>
          <w:sz w:val="28"/>
          <w:szCs w:val="28"/>
        </w:rPr>
        <w:t xml:space="preserve"> Academic Year 202</w:t>
      </w:r>
      <w:r w:rsidR="00813CC8">
        <w:rPr>
          <w:rFonts w:cstheme="minorHAnsi"/>
          <w:sz w:val="28"/>
          <w:szCs w:val="28"/>
        </w:rPr>
        <w:t>4</w:t>
      </w:r>
      <w:r w:rsidRPr="00963018">
        <w:rPr>
          <w:rFonts w:cstheme="minorHAnsi"/>
          <w:sz w:val="28"/>
          <w:szCs w:val="28"/>
        </w:rPr>
        <w:t>/202</w:t>
      </w:r>
      <w:r w:rsidR="00813CC8">
        <w:rPr>
          <w:rFonts w:cstheme="minorHAnsi"/>
          <w:sz w:val="28"/>
          <w:szCs w:val="28"/>
        </w:rPr>
        <w:t>5</w:t>
      </w:r>
      <w:bookmarkStart w:id="0" w:name="_GoBack"/>
      <w:bookmarkEnd w:id="0"/>
    </w:p>
    <w:p w14:paraId="1982383E" w14:textId="77777777" w:rsidR="000E6337" w:rsidRPr="00963018" w:rsidRDefault="00C25F29">
      <w:pPr>
        <w:jc w:val="center"/>
        <w:rPr>
          <w:rFonts w:cstheme="minorHAnsi"/>
          <w:sz w:val="28"/>
          <w:szCs w:val="28"/>
        </w:rPr>
      </w:pPr>
      <w:r w:rsidRPr="00963018">
        <w:rPr>
          <w:rFonts w:cstheme="minorHAnsi"/>
          <w:sz w:val="28"/>
          <w:szCs w:val="28"/>
        </w:rPr>
        <w:t>(data for the Tendered Traffic Sheet of our network application)</w:t>
      </w:r>
    </w:p>
    <w:p w14:paraId="33B4631D" w14:textId="77777777" w:rsidR="000E6337" w:rsidRPr="00963018" w:rsidRDefault="000E6337">
      <w:pPr>
        <w:jc w:val="center"/>
        <w:rPr>
          <w:rFonts w:cstheme="minorHAnsi"/>
        </w:rPr>
      </w:pPr>
    </w:p>
    <w:p w14:paraId="2A4B190B" w14:textId="1FE26630" w:rsidR="000E6337" w:rsidRPr="00963018" w:rsidRDefault="00C25F29">
      <w:r w:rsidRPr="00963018">
        <w:rPr>
          <w:rFonts w:cstheme="minorHAnsi"/>
          <w:b/>
          <w:bCs/>
        </w:rPr>
        <w:t xml:space="preserve">Home institution: </w:t>
      </w:r>
    </w:p>
    <w:p w14:paraId="1E0C75BE" w14:textId="3B9BD51A" w:rsidR="000E6337" w:rsidRPr="00963018" w:rsidRDefault="00C25F29">
      <w:r w:rsidRPr="00963018">
        <w:rPr>
          <w:rFonts w:cstheme="minorHAnsi"/>
          <w:b/>
          <w:bCs/>
        </w:rPr>
        <w:t xml:space="preserve">Coordinator: </w:t>
      </w:r>
    </w:p>
    <w:p w14:paraId="1C55F646" w14:textId="77777777" w:rsidR="00592663" w:rsidRDefault="00592663">
      <w:pPr>
        <w:jc w:val="center"/>
        <w:rPr>
          <w:rFonts w:cstheme="minorHAnsi"/>
          <w:b/>
          <w:bCs/>
        </w:rPr>
      </w:pPr>
    </w:p>
    <w:p w14:paraId="5F0DBD15" w14:textId="5BA9CE23" w:rsidR="000E6337" w:rsidRPr="00963018" w:rsidRDefault="00C25F29">
      <w:pPr>
        <w:jc w:val="center"/>
        <w:rPr>
          <w:rFonts w:cstheme="minorHAnsi"/>
          <w:b/>
          <w:bCs/>
        </w:rPr>
      </w:pPr>
      <w:r w:rsidRPr="00963018">
        <w:rPr>
          <w:rFonts w:cstheme="minorHAnsi"/>
          <w:b/>
          <w:bCs/>
        </w:rPr>
        <w:t xml:space="preserve">Student </w:t>
      </w:r>
      <w:proofErr w:type="spellStart"/>
      <w:r w:rsidRPr="00963018">
        <w:rPr>
          <w:rFonts w:cstheme="minorHAnsi"/>
          <w:b/>
          <w:bCs/>
        </w:rPr>
        <w:t>mobilities</w:t>
      </w:r>
      <w:proofErr w:type="spellEnd"/>
    </w:p>
    <w:p w14:paraId="2D1BBE46" w14:textId="77777777" w:rsidR="000E6337" w:rsidRPr="00963018" w:rsidRDefault="00C25F29">
      <w:pPr>
        <w:jc w:val="center"/>
        <w:rPr>
          <w:rFonts w:cstheme="minorHAnsi"/>
        </w:rPr>
      </w:pPr>
      <w:r w:rsidRPr="00963018">
        <w:rPr>
          <w:rFonts w:cstheme="minorHAnsi"/>
        </w:rPr>
        <w:t xml:space="preserve">(strongly recommended: </w:t>
      </w:r>
      <w:r w:rsidRPr="00963018">
        <w:rPr>
          <w:rFonts w:cstheme="minorHAnsi"/>
          <w:u w:val="single"/>
        </w:rPr>
        <w:t xml:space="preserve">at least 50% of all outgoing </w:t>
      </w:r>
      <w:proofErr w:type="spellStart"/>
      <w:r w:rsidRPr="00963018">
        <w:rPr>
          <w:rFonts w:cstheme="minorHAnsi"/>
          <w:u w:val="single"/>
        </w:rPr>
        <w:t>mobilities</w:t>
      </w:r>
      <w:proofErr w:type="spellEnd"/>
      <w:r w:rsidRPr="00963018">
        <w:rPr>
          <w:rFonts w:cstheme="minorHAnsi"/>
        </w:rPr>
        <w:t>)</w:t>
      </w:r>
    </w:p>
    <w:tbl>
      <w:tblPr>
        <w:tblStyle w:val="Reetkatablice"/>
        <w:tblW w:w="10774" w:type="dxa"/>
        <w:tblInd w:w="-856" w:type="dxa"/>
        <w:tblLook w:val="04A0" w:firstRow="1" w:lastRow="0" w:firstColumn="1" w:lastColumn="0" w:noHBand="0" w:noVBand="1"/>
      </w:tblPr>
      <w:tblGrid>
        <w:gridCol w:w="2978"/>
        <w:gridCol w:w="2976"/>
        <w:gridCol w:w="2268"/>
        <w:gridCol w:w="2552"/>
      </w:tblGrid>
      <w:tr w:rsidR="000E6337" w:rsidRPr="00963018" w14:paraId="7C8378EA" w14:textId="77777777">
        <w:tc>
          <w:tcPr>
            <w:tcW w:w="2977" w:type="dxa"/>
            <w:shd w:val="clear" w:color="auto" w:fill="auto"/>
          </w:tcPr>
          <w:p w14:paraId="1C5F4FA2" w14:textId="77777777" w:rsidR="000E6337" w:rsidRPr="00963018" w:rsidRDefault="000E633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0F7EC947" w14:textId="77777777" w:rsidR="000E6337" w:rsidRPr="00963018" w:rsidRDefault="00C25F2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963018">
              <w:rPr>
                <w:rFonts w:cstheme="minorHAnsi"/>
                <w:b/>
                <w:bCs/>
              </w:rPr>
              <w:t>Name and surname</w:t>
            </w:r>
          </w:p>
        </w:tc>
        <w:tc>
          <w:tcPr>
            <w:tcW w:w="2976" w:type="dxa"/>
            <w:shd w:val="clear" w:color="auto" w:fill="auto"/>
          </w:tcPr>
          <w:p w14:paraId="0DFC70F4" w14:textId="77777777" w:rsidR="000E6337" w:rsidRPr="00963018" w:rsidRDefault="00C25F2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963018">
              <w:rPr>
                <w:rFonts w:cstheme="minorHAnsi"/>
                <w:b/>
                <w:bCs/>
              </w:rPr>
              <w:t xml:space="preserve">Preferred host institution(s) </w:t>
            </w:r>
          </w:p>
          <w:p w14:paraId="2885F10C" w14:textId="77777777" w:rsidR="000E6337" w:rsidRPr="00963018" w:rsidRDefault="00C25F2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963018">
              <w:rPr>
                <w:rFonts w:cstheme="minorHAnsi"/>
                <w:b/>
                <w:bCs/>
              </w:rPr>
              <w:t>(in order of priority)</w:t>
            </w:r>
          </w:p>
        </w:tc>
        <w:tc>
          <w:tcPr>
            <w:tcW w:w="2268" w:type="dxa"/>
            <w:shd w:val="clear" w:color="auto" w:fill="auto"/>
          </w:tcPr>
          <w:p w14:paraId="357D19E0" w14:textId="77777777" w:rsidR="000E6337" w:rsidRPr="00963018" w:rsidRDefault="00C25F2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963018">
              <w:rPr>
                <w:rFonts w:cstheme="minorHAnsi"/>
                <w:b/>
                <w:bCs/>
              </w:rPr>
              <w:t>Duration</w:t>
            </w:r>
          </w:p>
          <w:p w14:paraId="1B5668EA" w14:textId="77777777" w:rsidR="000E6337" w:rsidRPr="00963018" w:rsidRDefault="00C25F2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63018">
              <w:rPr>
                <w:rFonts w:cstheme="minorHAnsi"/>
                <w:b/>
                <w:bCs/>
              </w:rPr>
              <w:t>(in months:</w:t>
            </w:r>
          </w:p>
          <w:p w14:paraId="5D0397DF" w14:textId="3F0F63E7" w:rsidR="000E6337" w:rsidRPr="00963018" w:rsidRDefault="00C25F2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63018">
              <w:rPr>
                <w:rFonts w:cstheme="minorHAnsi"/>
                <w:b/>
                <w:bCs/>
              </w:rPr>
              <w:t xml:space="preserve">short-term 1-3; </w:t>
            </w:r>
            <w:proofErr w:type="spellStart"/>
            <w:r w:rsidRPr="00963018">
              <w:rPr>
                <w:rFonts w:cstheme="minorHAnsi"/>
                <w:b/>
                <w:bCs/>
              </w:rPr>
              <w:t>semestral</w:t>
            </w:r>
            <w:proofErr w:type="spellEnd"/>
            <w:r w:rsidRPr="00963018">
              <w:rPr>
                <w:rFonts w:cstheme="minorHAnsi"/>
                <w:b/>
                <w:bCs/>
              </w:rPr>
              <w:t xml:space="preserve"> 4-5</w:t>
            </w:r>
            <w:r w:rsidR="00E14584">
              <w:rPr>
                <w:rFonts w:cstheme="minorHAnsi"/>
                <w:b/>
                <w:bCs/>
              </w:rPr>
              <w:t>, short-term intensive course min of 6 days</w:t>
            </w:r>
            <w:r w:rsidRPr="00963018">
              <w:rPr>
                <w:rFonts w:cstheme="minorHAnsi"/>
                <w:b/>
                <w:bCs/>
              </w:rPr>
              <w:t xml:space="preserve">) </w:t>
            </w:r>
          </w:p>
        </w:tc>
        <w:tc>
          <w:tcPr>
            <w:tcW w:w="2552" w:type="dxa"/>
            <w:shd w:val="clear" w:color="auto" w:fill="auto"/>
          </w:tcPr>
          <w:p w14:paraId="6DE62F0F" w14:textId="77777777" w:rsidR="000E6337" w:rsidRPr="00963018" w:rsidRDefault="00C25F2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963018">
              <w:rPr>
                <w:rFonts w:cstheme="minorHAnsi"/>
                <w:b/>
                <w:bCs/>
              </w:rPr>
              <w:t>Contact</w:t>
            </w:r>
          </w:p>
          <w:p w14:paraId="32A8459D" w14:textId="77777777" w:rsidR="000E6337" w:rsidRPr="00963018" w:rsidRDefault="00C25F2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963018">
              <w:rPr>
                <w:rFonts w:cstheme="minorHAnsi"/>
                <w:b/>
                <w:bCs/>
              </w:rPr>
              <w:t>(e-mail address)</w:t>
            </w:r>
          </w:p>
        </w:tc>
      </w:tr>
      <w:tr w:rsidR="000E6337" w:rsidRPr="00963018" w14:paraId="067F3255" w14:textId="77777777">
        <w:tc>
          <w:tcPr>
            <w:tcW w:w="2977" w:type="dxa"/>
            <w:shd w:val="clear" w:color="auto" w:fill="auto"/>
          </w:tcPr>
          <w:p w14:paraId="5AC2A3E4" w14:textId="77777777" w:rsidR="000E6337" w:rsidRPr="00963018" w:rsidRDefault="000E633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78163778" w14:textId="77777777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075AE80A" w14:textId="77777777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auto"/>
          </w:tcPr>
          <w:p w14:paraId="45847B69" w14:textId="77777777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E6337" w:rsidRPr="00963018" w14:paraId="4BA8CE99" w14:textId="77777777">
        <w:tc>
          <w:tcPr>
            <w:tcW w:w="2977" w:type="dxa"/>
            <w:shd w:val="clear" w:color="auto" w:fill="auto"/>
          </w:tcPr>
          <w:p w14:paraId="58BA896B" w14:textId="77777777" w:rsidR="000E6337" w:rsidRPr="00963018" w:rsidRDefault="000E633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0736C3F6" w14:textId="77777777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5B087208" w14:textId="77777777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auto"/>
          </w:tcPr>
          <w:p w14:paraId="6E0B898D" w14:textId="77777777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E6337" w:rsidRPr="00963018" w14:paraId="54A11A89" w14:textId="77777777">
        <w:tc>
          <w:tcPr>
            <w:tcW w:w="2977" w:type="dxa"/>
            <w:shd w:val="clear" w:color="auto" w:fill="auto"/>
          </w:tcPr>
          <w:p w14:paraId="260A9E79" w14:textId="77777777" w:rsidR="000E6337" w:rsidRPr="00963018" w:rsidRDefault="000E633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006E481A" w14:textId="77777777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21D0AD24" w14:textId="77777777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auto"/>
          </w:tcPr>
          <w:p w14:paraId="5D8F118C" w14:textId="77777777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E6337" w:rsidRPr="00963018" w14:paraId="52100AE3" w14:textId="77777777">
        <w:tc>
          <w:tcPr>
            <w:tcW w:w="2977" w:type="dxa"/>
            <w:shd w:val="clear" w:color="auto" w:fill="auto"/>
          </w:tcPr>
          <w:p w14:paraId="4383E6DD" w14:textId="77777777" w:rsidR="000E6337" w:rsidRPr="00963018" w:rsidRDefault="000E633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363C981C" w14:textId="77777777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4DA42C42" w14:textId="77777777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auto"/>
          </w:tcPr>
          <w:p w14:paraId="2E42C1C2" w14:textId="77777777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E6337" w:rsidRPr="00963018" w14:paraId="737D8E06" w14:textId="77777777">
        <w:tc>
          <w:tcPr>
            <w:tcW w:w="2977" w:type="dxa"/>
            <w:shd w:val="clear" w:color="auto" w:fill="auto"/>
          </w:tcPr>
          <w:p w14:paraId="4C7E9762" w14:textId="77777777" w:rsidR="000E6337" w:rsidRPr="00963018" w:rsidRDefault="000E633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2F825A2D" w14:textId="77777777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6CA4671" w14:textId="77777777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auto"/>
          </w:tcPr>
          <w:p w14:paraId="08FD2B94" w14:textId="77777777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E6337" w:rsidRPr="00963018" w14:paraId="6AF5ED97" w14:textId="77777777">
        <w:tc>
          <w:tcPr>
            <w:tcW w:w="2977" w:type="dxa"/>
            <w:shd w:val="clear" w:color="auto" w:fill="auto"/>
          </w:tcPr>
          <w:p w14:paraId="32BE8467" w14:textId="77777777" w:rsidR="000E6337" w:rsidRPr="00963018" w:rsidRDefault="000E633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51EA1F96" w14:textId="77777777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1DCA91DD" w14:textId="77777777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auto"/>
          </w:tcPr>
          <w:p w14:paraId="7F4A92FD" w14:textId="77777777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7A8B975" w14:textId="77777777" w:rsidR="000E6337" w:rsidRPr="00963018" w:rsidRDefault="000E6337">
      <w:pPr>
        <w:rPr>
          <w:rFonts w:cstheme="minorHAnsi"/>
        </w:rPr>
      </w:pPr>
    </w:p>
    <w:p w14:paraId="1EDFA43C" w14:textId="77777777" w:rsidR="000E6337" w:rsidRPr="00963018" w:rsidRDefault="000E6337">
      <w:pPr>
        <w:sectPr w:rsidR="000E6337" w:rsidRPr="00963018" w:rsidSect="00ED1AA0">
          <w:pgSz w:w="11906" w:h="16838"/>
          <w:pgMar w:top="1417" w:right="1417" w:bottom="1417" w:left="1417" w:header="0" w:footer="0" w:gutter="0"/>
          <w:cols w:space="720"/>
          <w:formProt w:val="0"/>
          <w:docGrid w:linePitch="360" w:charSpace="4096"/>
        </w:sectPr>
      </w:pPr>
    </w:p>
    <w:p w14:paraId="04AC467A" w14:textId="77777777" w:rsidR="000E6337" w:rsidRPr="00963018" w:rsidRDefault="000E6337">
      <w:pPr>
        <w:rPr>
          <w:rFonts w:cstheme="minorHAnsi"/>
        </w:rPr>
      </w:pPr>
    </w:p>
    <w:p w14:paraId="60185E08" w14:textId="77777777" w:rsidR="000E6337" w:rsidRPr="00963018" w:rsidRDefault="00C25F29">
      <w:pPr>
        <w:jc w:val="center"/>
        <w:rPr>
          <w:rFonts w:cstheme="minorHAnsi"/>
          <w:b/>
          <w:bCs/>
        </w:rPr>
      </w:pPr>
      <w:r w:rsidRPr="00963018">
        <w:rPr>
          <w:rFonts w:cstheme="minorHAnsi"/>
          <w:b/>
          <w:bCs/>
        </w:rPr>
        <w:t xml:space="preserve">Teacher </w:t>
      </w:r>
      <w:proofErr w:type="spellStart"/>
      <w:r w:rsidRPr="00963018">
        <w:rPr>
          <w:rFonts w:cstheme="minorHAnsi"/>
          <w:b/>
          <w:bCs/>
        </w:rPr>
        <w:t>mobilities</w:t>
      </w:r>
      <w:proofErr w:type="spellEnd"/>
    </w:p>
    <w:tbl>
      <w:tblPr>
        <w:tblStyle w:val="Reetkatablice"/>
        <w:tblW w:w="11624" w:type="dxa"/>
        <w:tblInd w:w="-1281" w:type="dxa"/>
        <w:tblLook w:val="04A0" w:firstRow="1" w:lastRow="0" w:firstColumn="1" w:lastColumn="0" w:noHBand="0" w:noVBand="1"/>
      </w:tblPr>
      <w:tblGrid>
        <w:gridCol w:w="2216"/>
        <w:gridCol w:w="1986"/>
        <w:gridCol w:w="1467"/>
        <w:gridCol w:w="2491"/>
        <w:gridCol w:w="3464"/>
      </w:tblGrid>
      <w:tr w:rsidR="000E6337" w:rsidRPr="00963018" w14:paraId="1381BED8" w14:textId="77777777">
        <w:tc>
          <w:tcPr>
            <w:tcW w:w="2216" w:type="dxa"/>
            <w:shd w:val="clear" w:color="auto" w:fill="auto"/>
          </w:tcPr>
          <w:p w14:paraId="21DC3D16" w14:textId="77777777" w:rsidR="000E6337" w:rsidRPr="00963018" w:rsidRDefault="000E6337">
            <w:pPr>
              <w:spacing w:after="0" w:line="240" w:lineRule="auto"/>
              <w:jc w:val="right"/>
              <w:rPr>
                <w:rFonts w:cstheme="minorHAnsi"/>
                <w:b/>
                <w:bCs/>
              </w:rPr>
            </w:pPr>
          </w:p>
          <w:p w14:paraId="19204937" w14:textId="77777777" w:rsidR="000E6337" w:rsidRPr="00963018" w:rsidRDefault="00C25F2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963018">
              <w:rPr>
                <w:rFonts w:cstheme="minorHAnsi"/>
                <w:b/>
                <w:bCs/>
              </w:rPr>
              <w:t>Acad. title, name and surname</w:t>
            </w:r>
          </w:p>
        </w:tc>
        <w:tc>
          <w:tcPr>
            <w:tcW w:w="1986" w:type="dxa"/>
            <w:shd w:val="clear" w:color="auto" w:fill="auto"/>
          </w:tcPr>
          <w:p w14:paraId="06A57CC1" w14:textId="77777777" w:rsidR="000E6337" w:rsidRPr="00963018" w:rsidRDefault="00C25F2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963018">
              <w:rPr>
                <w:rFonts w:cstheme="minorHAnsi"/>
                <w:b/>
                <w:bCs/>
              </w:rPr>
              <w:t>Possible host institutions</w:t>
            </w:r>
          </w:p>
          <w:p w14:paraId="15AFAD51" w14:textId="77777777" w:rsidR="000E6337" w:rsidRPr="00963018" w:rsidRDefault="00C25F29" w:rsidP="0096301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963018">
              <w:rPr>
                <w:rFonts w:cstheme="minorHAnsi"/>
                <w:b/>
                <w:bCs/>
              </w:rPr>
              <w:t>(in order of priority)</w:t>
            </w:r>
          </w:p>
        </w:tc>
        <w:tc>
          <w:tcPr>
            <w:tcW w:w="1467" w:type="dxa"/>
            <w:shd w:val="clear" w:color="auto" w:fill="auto"/>
          </w:tcPr>
          <w:p w14:paraId="0F98AE8E" w14:textId="77777777" w:rsidR="000E6337" w:rsidRPr="00963018" w:rsidRDefault="00C25F2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63018">
              <w:rPr>
                <w:rFonts w:cstheme="minorHAnsi"/>
                <w:b/>
                <w:bCs/>
              </w:rPr>
              <w:t>Duration</w:t>
            </w:r>
          </w:p>
          <w:p w14:paraId="6F6D44EA" w14:textId="32FF8B79" w:rsidR="000E6337" w:rsidRPr="00963018" w:rsidRDefault="00C25F29" w:rsidP="00963018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63018">
              <w:rPr>
                <w:rFonts w:cstheme="minorHAnsi"/>
                <w:b/>
                <w:bCs/>
              </w:rPr>
              <w:t>(from 5 working days up to 2 weeks)</w:t>
            </w:r>
          </w:p>
        </w:tc>
        <w:tc>
          <w:tcPr>
            <w:tcW w:w="2491" w:type="dxa"/>
            <w:shd w:val="clear" w:color="auto" w:fill="auto"/>
          </w:tcPr>
          <w:p w14:paraId="4DF9C236" w14:textId="77777777" w:rsidR="000E6337" w:rsidRPr="00963018" w:rsidRDefault="00C25F2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63018">
              <w:rPr>
                <w:rFonts w:cstheme="minorHAnsi"/>
                <w:b/>
                <w:bCs/>
              </w:rPr>
              <w:t>Contact</w:t>
            </w:r>
          </w:p>
          <w:p w14:paraId="019C7F8B" w14:textId="77777777" w:rsidR="000E6337" w:rsidRPr="00963018" w:rsidRDefault="00C25F2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63018">
              <w:rPr>
                <w:rFonts w:cstheme="minorHAnsi"/>
                <w:b/>
                <w:bCs/>
              </w:rPr>
              <w:t>(e-mail address)</w:t>
            </w:r>
          </w:p>
        </w:tc>
        <w:tc>
          <w:tcPr>
            <w:tcW w:w="3464" w:type="dxa"/>
            <w:shd w:val="clear" w:color="auto" w:fill="auto"/>
          </w:tcPr>
          <w:p w14:paraId="6BD59684" w14:textId="77777777" w:rsidR="000E6337" w:rsidRPr="00963018" w:rsidRDefault="00C25F2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963018">
              <w:rPr>
                <w:rFonts w:cstheme="minorHAnsi"/>
                <w:b/>
                <w:bCs/>
              </w:rPr>
              <w:t>2-3 (one week) or 5-6 (two weeks) proposed lecture topics and their interdisciplinary dimension</w:t>
            </w:r>
          </w:p>
          <w:p w14:paraId="7BFC276F" w14:textId="77777777" w:rsidR="000E6337" w:rsidRPr="00963018" w:rsidRDefault="00C25F2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963018">
              <w:rPr>
                <w:rFonts w:cstheme="minorHAnsi"/>
                <w:b/>
                <w:bCs/>
              </w:rPr>
              <w:t>(sciences and disciplines involved)</w:t>
            </w:r>
            <w:r w:rsidRPr="00963018">
              <w:rPr>
                <w:rStyle w:val="FootnoteAnchor"/>
                <w:rFonts w:cstheme="minorHAnsi"/>
                <w:b/>
                <w:bCs/>
              </w:rPr>
              <w:footnoteReference w:id="1"/>
            </w:r>
          </w:p>
        </w:tc>
      </w:tr>
      <w:tr w:rsidR="000E6337" w:rsidRPr="00963018" w14:paraId="71B45E4E" w14:textId="77777777">
        <w:tc>
          <w:tcPr>
            <w:tcW w:w="2216" w:type="dxa"/>
            <w:shd w:val="clear" w:color="auto" w:fill="auto"/>
          </w:tcPr>
          <w:p w14:paraId="73831F23" w14:textId="2FBDF23B" w:rsidR="000E6337" w:rsidRPr="00963018" w:rsidRDefault="00C25F29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theme="minorHAnsi"/>
              </w:rPr>
            </w:pPr>
            <w:r w:rsidRPr="00963018">
              <w:rPr>
                <w:rFonts w:cstheme="minorHAnsi"/>
              </w:rPr>
              <w:t xml:space="preserve"> </w:t>
            </w:r>
          </w:p>
        </w:tc>
        <w:tc>
          <w:tcPr>
            <w:tcW w:w="1986" w:type="dxa"/>
            <w:shd w:val="clear" w:color="auto" w:fill="auto"/>
          </w:tcPr>
          <w:p w14:paraId="084E642D" w14:textId="644B16FE" w:rsidR="000E6337" w:rsidRPr="00963018" w:rsidRDefault="000E6337">
            <w:pPr>
              <w:pStyle w:val="Odlomakpopisa"/>
              <w:spacing w:after="0" w:line="240" w:lineRule="auto"/>
              <w:ind w:left="357" w:hanging="357"/>
              <w:rPr>
                <w:rFonts w:cstheme="minorHAnsi"/>
              </w:rPr>
            </w:pPr>
          </w:p>
        </w:tc>
        <w:tc>
          <w:tcPr>
            <w:tcW w:w="1467" w:type="dxa"/>
            <w:shd w:val="clear" w:color="auto" w:fill="auto"/>
          </w:tcPr>
          <w:p w14:paraId="4265B989" w14:textId="45053CBD" w:rsidR="000E6337" w:rsidRPr="00963018" w:rsidRDefault="000E6337">
            <w:pPr>
              <w:spacing w:after="0" w:line="240" w:lineRule="auto"/>
            </w:pPr>
          </w:p>
        </w:tc>
        <w:tc>
          <w:tcPr>
            <w:tcW w:w="2491" w:type="dxa"/>
            <w:shd w:val="clear" w:color="auto" w:fill="auto"/>
          </w:tcPr>
          <w:p w14:paraId="538B9688" w14:textId="211A4FC3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64" w:type="dxa"/>
            <w:shd w:val="clear" w:color="auto" w:fill="auto"/>
          </w:tcPr>
          <w:p w14:paraId="3860B960" w14:textId="437A29BF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E6337" w:rsidRPr="00963018" w14:paraId="22D1C7A0" w14:textId="77777777">
        <w:tc>
          <w:tcPr>
            <w:tcW w:w="2216" w:type="dxa"/>
            <w:shd w:val="clear" w:color="auto" w:fill="auto"/>
          </w:tcPr>
          <w:p w14:paraId="2F92CCA6" w14:textId="3D5A093A" w:rsidR="000E6337" w:rsidRPr="00963018" w:rsidRDefault="000E633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theme="minorHAnsi"/>
              </w:rPr>
            </w:pPr>
          </w:p>
        </w:tc>
        <w:tc>
          <w:tcPr>
            <w:tcW w:w="1986" w:type="dxa"/>
            <w:shd w:val="clear" w:color="auto" w:fill="auto"/>
          </w:tcPr>
          <w:p w14:paraId="2DC1CEF4" w14:textId="37B45A96" w:rsidR="000E6337" w:rsidRPr="00963018" w:rsidRDefault="000E6337">
            <w:pPr>
              <w:pStyle w:val="Odlomakpopisa"/>
              <w:spacing w:after="0" w:line="240" w:lineRule="auto"/>
              <w:ind w:left="357" w:hanging="357"/>
              <w:rPr>
                <w:rFonts w:cstheme="minorHAnsi"/>
              </w:rPr>
            </w:pPr>
          </w:p>
        </w:tc>
        <w:tc>
          <w:tcPr>
            <w:tcW w:w="1467" w:type="dxa"/>
            <w:shd w:val="clear" w:color="auto" w:fill="auto"/>
          </w:tcPr>
          <w:p w14:paraId="7F2D2786" w14:textId="5A5CA0F0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91" w:type="dxa"/>
            <w:shd w:val="clear" w:color="auto" w:fill="auto"/>
          </w:tcPr>
          <w:p w14:paraId="02524B6D" w14:textId="7ABA8FF2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64" w:type="dxa"/>
            <w:shd w:val="clear" w:color="auto" w:fill="auto"/>
          </w:tcPr>
          <w:p w14:paraId="24CB358A" w14:textId="40A04F64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E6337" w:rsidRPr="00963018" w14:paraId="6237B9F7" w14:textId="77777777">
        <w:tc>
          <w:tcPr>
            <w:tcW w:w="2216" w:type="dxa"/>
            <w:shd w:val="clear" w:color="auto" w:fill="auto"/>
          </w:tcPr>
          <w:p w14:paraId="64E40C74" w14:textId="1D03FEFE" w:rsidR="000E6337" w:rsidRPr="00963018" w:rsidRDefault="00C25F29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theme="minorHAnsi"/>
              </w:rPr>
            </w:pPr>
            <w:r w:rsidRPr="00963018">
              <w:rPr>
                <w:rFonts w:cstheme="minorHAnsi"/>
              </w:rPr>
              <w:t xml:space="preserve"> </w:t>
            </w:r>
          </w:p>
        </w:tc>
        <w:tc>
          <w:tcPr>
            <w:tcW w:w="1986" w:type="dxa"/>
            <w:shd w:val="clear" w:color="auto" w:fill="auto"/>
          </w:tcPr>
          <w:p w14:paraId="1BBEBB59" w14:textId="1E1F7410" w:rsidR="000E6337" w:rsidRPr="00963018" w:rsidRDefault="000E6337">
            <w:pPr>
              <w:pStyle w:val="Odlomakpopisa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67" w:type="dxa"/>
            <w:shd w:val="clear" w:color="auto" w:fill="auto"/>
          </w:tcPr>
          <w:p w14:paraId="7F260CCF" w14:textId="7D0C0F63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91" w:type="dxa"/>
            <w:shd w:val="clear" w:color="auto" w:fill="auto"/>
          </w:tcPr>
          <w:p w14:paraId="71C66C57" w14:textId="266B5841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64" w:type="dxa"/>
            <w:shd w:val="clear" w:color="auto" w:fill="auto"/>
          </w:tcPr>
          <w:p w14:paraId="1A76FF95" w14:textId="61128259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E6337" w:rsidRPr="00963018" w14:paraId="3405810C" w14:textId="77777777">
        <w:tc>
          <w:tcPr>
            <w:tcW w:w="2216" w:type="dxa"/>
            <w:shd w:val="clear" w:color="auto" w:fill="auto"/>
          </w:tcPr>
          <w:p w14:paraId="0EE61379" w14:textId="77777777" w:rsidR="000E6337" w:rsidRPr="00963018" w:rsidRDefault="000E633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theme="minorHAnsi"/>
                <w:lang w:val="fr-FR"/>
              </w:rPr>
            </w:pPr>
          </w:p>
        </w:tc>
        <w:tc>
          <w:tcPr>
            <w:tcW w:w="1986" w:type="dxa"/>
            <w:shd w:val="clear" w:color="auto" w:fill="auto"/>
          </w:tcPr>
          <w:p w14:paraId="2B85BB29" w14:textId="77777777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67" w:type="dxa"/>
            <w:shd w:val="clear" w:color="auto" w:fill="auto"/>
          </w:tcPr>
          <w:p w14:paraId="4469E232" w14:textId="77777777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91" w:type="dxa"/>
            <w:shd w:val="clear" w:color="auto" w:fill="auto"/>
          </w:tcPr>
          <w:p w14:paraId="2D176AE3" w14:textId="77777777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64" w:type="dxa"/>
            <w:shd w:val="clear" w:color="auto" w:fill="auto"/>
          </w:tcPr>
          <w:p w14:paraId="766C4E51" w14:textId="77777777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E6337" w:rsidRPr="00963018" w14:paraId="59A68E13" w14:textId="77777777">
        <w:tc>
          <w:tcPr>
            <w:tcW w:w="2216" w:type="dxa"/>
            <w:shd w:val="clear" w:color="auto" w:fill="auto"/>
          </w:tcPr>
          <w:p w14:paraId="52347A82" w14:textId="77777777" w:rsidR="000E6337" w:rsidRPr="00963018" w:rsidRDefault="000E633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theme="minorHAnsi"/>
              </w:rPr>
            </w:pPr>
          </w:p>
        </w:tc>
        <w:tc>
          <w:tcPr>
            <w:tcW w:w="1986" w:type="dxa"/>
            <w:shd w:val="clear" w:color="auto" w:fill="auto"/>
          </w:tcPr>
          <w:p w14:paraId="424C9C33" w14:textId="77777777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67" w:type="dxa"/>
            <w:shd w:val="clear" w:color="auto" w:fill="auto"/>
          </w:tcPr>
          <w:p w14:paraId="10113B9A" w14:textId="77777777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91" w:type="dxa"/>
            <w:shd w:val="clear" w:color="auto" w:fill="auto"/>
          </w:tcPr>
          <w:p w14:paraId="00284C14" w14:textId="77777777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64" w:type="dxa"/>
            <w:shd w:val="clear" w:color="auto" w:fill="auto"/>
          </w:tcPr>
          <w:p w14:paraId="24FB5988" w14:textId="77777777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E6337" w:rsidRPr="00963018" w14:paraId="425DB7F5" w14:textId="77777777">
        <w:tc>
          <w:tcPr>
            <w:tcW w:w="2216" w:type="dxa"/>
            <w:shd w:val="clear" w:color="auto" w:fill="auto"/>
          </w:tcPr>
          <w:p w14:paraId="65A544B1" w14:textId="77777777" w:rsidR="000E6337" w:rsidRPr="00963018" w:rsidRDefault="000E633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theme="minorHAnsi"/>
              </w:rPr>
            </w:pPr>
          </w:p>
        </w:tc>
        <w:tc>
          <w:tcPr>
            <w:tcW w:w="1986" w:type="dxa"/>
            <w:shd w:val="clear" w:color="auto" w:fill="auto"/>
          </w:tcPr>
          <w:p w14:paraId="104939AF" w14:textId="77777777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67" w:type="dxa"/>
            <w:shd w:val="clear" w:color="auto" w:fill="auto"/>
          </w:tcPr>
          <w:p w14:paraId="643699F5" w14:textId="77777777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91" w:type="dxa"/>
            <w:shd w:val="clear" w:color="auto" w:fill="auto"/>
          </w:tcPr>
          <w:p w14:paraId="1DBD2C5D" w14:textId="77777777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64" w:type="dxa"/>
            <w:shd w:val="clear" w:color="auto" w:fill="auto"/>
          </w:tcPr>
          <w:p w14:paraId="7D5BB5E3" w14:textId="77777777" w:rsidR="000E6337" w:rsidRPr="00963018" w:rsidRDefault="000E6337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066FA76" w14:textId="77777777" w:rsidR="000E6337" w:rsidRPr="00963018" w:rsidRDefault="000E6337">
      <w:pPr>
        <w:jc w:val="center"/>
        <w:rPr>
          <w:rFonts w:cstheme="minorHAnsi"/>
        </w:rPr>
      </w:pPr>
    </w:p>
    <w:p w14:paraId="5DAF6814" w14:textId="77777777" w:rsidR="00E14584" w:rsidRDefault="00E14584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br w:type="page"/>
      </w:r>
    </w:p>
    <w:p w14:paraId="4434CBD1" w14:textId="77777777" w:rsidR="00E14584" w:rsidRDefault="00E14584" w:rsidP="00592663">
      <w:pPr>
        <w:rPr>
          <w:rFonts w:cstheme="minorHAnsi"/>
        </w:rPr>
      </w:pPr>
    </w:p>
    <w:p w14:paraId="502D320F" w14:textId="77777777" w:rsidR="00E14584" w:rsidRPr="00963018" w:rsidRDefault="00E14584">
      <w:pPr>
        <w:jc w:val="center"/>
        <w:rPr>
          <w:rFonts w:cstheme="minorHAnsi"/>
        </w:rPr>
      </w:pPr>
    </w:p>
    <w:p w14:paraId="78D35AD5" w14:textId="77777777" w:rsidR="000E6337" w:rsidRPr="00963018" w:rsidRDefault="00C25F29">
      <w:pPr>
        <w:rPr>
          <w:rFonts w:cstheme="minorHAnsi"/>
        </w:rPr>
      </w:pPr>
      <w:r w:rsidRPr="00963018">
        <w:rPr>
          <w:rFonts w:cstheme="minorHAnsi"/>
        </w:rPr>
        <w:t>Preferred abbreviations for host institutions:</w:t>
      </w: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0E6337" w:rsidRPr="00963018" w14:paraId="5197E9AE" w14:textId="77777777" w:rsidTr="00B456D5">
        <w:tc>
          <w:tcPr>
            <w:tcW w:w="4532" w:type="dxa"/>
            <w:shd w:val="clear" w:color="auto" w:fill="auto"/>
          </w:tcPr>
          <w:p w14:paraId="5F5087C7" w14:textId="0E5815C6" w:rsidR="000E6337" w:rsidRPr="00B456D5" w:rsidRDefault="00B456D5" w:rsidP="00B456D5">
            <w:pPr>
              <w:shd w:val="clear" w:color="auto" w:fill="FFFFFF"/>
              <w:spacing w:after="0" w:line="240" w:lineRule="auto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val="hr-HR" w:eastAsia="hr-HR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hr-HR"/>
              </w:rPr>
              <w:t>Department for Systematic Theology and Liturgical Studies</w:t>
            </w:r>
            <w:r w:rsidR="00C25F29" w:rsidRPr="00B456D5">
              <w:rPr>
                <w:rFonts w:eastAsia="Times New Roman" w:cstheme="minorHAnsi"/>
                <w:sz w:val="24"/>
                <w:szCs w:val="24"/>
              </w:rPr>
              <w:t xml:space="preserve">, University of </w:t>
            </w:r>
            <w:r w:rsidR="00CD105F" w:rsidRPr="00B456D5">
              <w:rPr>
                <w:rFonts w:eastAsia="Times New Roman" w:cstheme="minorHAnsi"/>
                <w:b/>
                <w:bCs/>
                <w:sz w:val="24"/>
                <w:szCs w:val="24"/>
              </w:rPr>
              <w:t>Graz</w:t>
            </w:r>
          </w:p>
        </w:tc>
        <w:tc>
          <w:tcPr>
            <w:tcW w:w="4530" w:type="dxa"/>
            <w:shd w:val="clear" w:color="auto" w:fill="auto"/>
          </w:tcPr>
          <w:p w14:paraId="2F75B470" w14:textId="491D809B" w:rsidR="000E6337" w:rsidRPr="00B456D5" w:rsidRDefault="00CD10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456D5">
              <w:rPr>
                <w:rFonts w:cstheme="minorHAnsi"/>
                <w:sz w:val="24"/>
                <w:szCs w:val="24"/>
              </w:rPr>
              <w:t>Graz</w:t>
            </w:r>
          </w:p>
        </w:tc>
      </w:tr>
      <w:tr w:rsidR="000E6337" w:rsidRPr="00963018" w14:paraId="72BF362B" w14:textId="77777777" w:rsidTr="00B456D5">
        <w:tc>
          <w:tcPr>
            <w:tcW w:w="4532" w:type="dxa"/>
            <w:shd w:val="clear" w:color="auto" w:fill="auto"/>
          </w:tcPr>
          <w:p w14:paraId="4BEC8C81" w14:textId="0B6CD20D" w:rsidR="000E6337" w:rsidRPr="00B456D5" w:rsidRDefault="00CD105F" w:rsidP="00CD10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456D5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Department of Philosophy and Social Sciences, Episcopal Theological College of</w:t>
            </w:r>
            <w:r w:rsidRPr="00B456D5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 xml:space="preserve"> Pécs,</w:t>
            </w:r>
            <w:r w:rsidRPr="00B456D5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530" w:type="dxa"/>
            <w:shd w:val="clear" w:color="auto" w:fill="auto"/>
          </w:tcPr>
          <w:p w14:paraId="4CD717F7" w14:textId="2F8BC66D" w:rsidR="000E6337" w:rsidRPr="00B456D5" w:rsidRDefault="00B456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456D5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Pécs</w:t>
            </w:r>
          </w:p>
        </w:tc>
      </w:tr>
      <w:tr w:rsidR="00B456D5" w:rsidRPr="00963018" w14:paraId="7A1D5A6D" w14:textId="77777777" w:rsidTr="00B456D5">
        <w:tc>
          <w:tcPr>
            <w:tcW w:w="4532" w:type="dxa"/>
            <w:shd w:val="clear" w:color="auto" w:fill="auto"/>
          </w:tcPr>
          <w:p w14:paraId="3670C03F" w14:textId="2CD21E7B" w:rsidR="00B456D5" w:rsidRPr="00B456D5" w:rsidRDefault="00B456D5" w:rsidP="00CD105F">
            <w:pPr>
              <w:spacing w:after="0" w:line="240" w:lineRule="auto"/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B456D5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Evangelical Lutheran Theological Faculty, Comenius University in</w:t>
            </w:r>
            <w:r w:rsidRPr="00B456D5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 xml:space="preserve"> Bratislava</w:t>
            </w:r>
          </w:p>
        </w:tc>
        <w:tc>
          <w:tcPr>
            <w:tcW w:w="4530" w:type="dxa"/>
            <w:shd w:val="clear" w:color="auto" w:fill="auto"/>
          </w:tcPr>
          <w:p w14:paraId="1E8BF406" w14:textId="3CA02C7F" w:rsidR="00B456D5" w:rsidRPr="00B456D5" w:rsidRDefault="00B456D5">
            <w:pPr>
              <w:spacing w:after="0" w:line="240" w:lineRule="auto"/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B456D5">
              <w:rPr>
                <w:rFonts w:cstheme="minorHAnsi"/>
                <w:sz w:val="24"/>
                <w:szCs w:val="24"/>
              </w:rPr>
              <w:t>Bratislava</w:t>
            </w:r>
          </w:p>
        </w:tc>
      </w:tr>
      <w:tr w:rsidR="000E6337" w:rsidRPr="00963018" w14:paraId="06ED1FB5" w14:textId="77777777" w:rsidTr="00B456D5">
        <w:tc>
          <w:tcPr>
            <w:tcW w:w="4532" w:type="dxa"/>
            <w:shd w:val="clear" w:color="auto" w:fill="auto"/>
          </w:tcPr>
          <w:p w14:paraId="2C8E0EDA" w14:textId="4F73FE2A" w:rsidR="000E6337" w:rsidRPr="00B456D5" w:rsidRDefault="00CD10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456D5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Catholic Theological Faculty</w:t>
            </w:r>
            <w:r w:rsidR="00C25F29" w:rsidRPr="00B456D5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B456D5"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  <w:t xml:space="preserve">University of </w:t>
            </w:r>
            <w:r w:rsidRPr="00B456D5">
              <w:rPr>
                <w:rFonts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Sarajevo</w:t>
            </w:r>
            <w:r w:rsidR="00C25F29" w:rsidRPr="00B456D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  <w:shd w:val="clear" w:color="auto" w:fill="auto"/>
          </w:tcPr>
          <w:p w14:paraId="60DC8527" w14:textId="5AD613E9" w:rsidR="000E6337" w:rsidRPr="00B456D5" w:rsidRDefault="00B456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456D5">
              <w:rPr>
                <w:rFonts w:cstheme="minorHAnsi"/>
                <w:sz w:val="24"/>
                <w:szCs w:val="24"/>
              </w:rPr>
              <w:t>KBF, Sarajevo</w:t>
            </w:r>
          </w:p>
        </w:tc>
      </w:tr>
      <w:tr w:rsidR="000E6337" w:rsidRPr="00963018" w14:paraId="24F9D84D" w14:textId="77777777" w:rsidTr="00B456D5">
        <w:tc>
          <w:tcPr>
            <w:tcW w:w="4532" w:type="dxa"/>
            <w:shd w:val="clear" w:color="auto" w:fill="auto"/>
          </w:tcPr>
          <w:p w14:paraId="51E623DE" w14:textId="7E89030C" w:rsidR="000E6337" w:rsidRPr="00B456D5" w:rsidRDefault="00CD105F">
            <w:pPr>
              <w:spacing w:after="0" w:line="240" w:lineRule="auto"/>
              <w:rPr>
                <w:rFonts w:cstheme="minorHAnsi"/>
                <w:color w:val="222222"/>
                <w:sz w:val="24"/>
                <w:szCs w:val="24"/>
              </w:rPr>
            </w:pPr>
            <w:r w:rsidRPr="00B456D5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Faculty of Islamic Studies</w:t>
            </w:r>
            <w:r w:rsidR="00C25F29" w:rsidRPr="00B456D5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, University of </w:t>
            </w:r>
            <w:r w:rsidRPr="00B456D5">
              <w:rPr>
                <w:rFonts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Sarajevo</w:t>
            </w:r>
          </w:p>
        </w:tc>
        <w:tc>
          <w:tcPr>
            <w:tcW w:w="4530" w:type="dxa"/>
            <w:shd w:val="clear" w:color="auto" w:fill="auto"/>
          </w:tcPr>
          <w:p w14:paraId="04FACF92" w14:textId="232A889D" w:rsidR="000E6337" w:rsidRPr="00B456D5" w:rsidRDefault="00B456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456D5">
              <w:rPr>
                <w:rFonts w:cstheme="minorHAnsi"/>
                <w:sz w:val="24"/>
                <w:szCs w:val="24"/>
              </w:rPr>
              <w:t>FIN, Sarajevo</w:t>
            </w:r>
          </w:p>
        </w:tc>
      </w:tr>
      <w:tr w:rsidR="000E6337" w:rsidRPr="00963018" w14:paraId="377F6E99" w14:textId="77777777" w:rsidTr="00B456D5">
        <w:tc>
          <w:tcPr>
            <w:tcW w:w="4532" w:type="dxa"/>
            <w:shd w:val="clear" w:color="auto" w:fill="auto"/>
          </w:tcPr>
          <w:p w14:paraId="1FEBC7A9" w14:textId="50AED8E4" w:rsidR="000E6337" w:rsidRPr="00B456D5" w:rsidRDefault="00813CC8" w:rsidP="00B456D5">
            <w:pPr>
              <w:spacing w:after="0" w:line="240" w:lineRule="auto"/>
              <w:rPr>
                <w:rFonts w:cstheme="minorHAnsi"/>
                <w:color w:val="222222"/>
                <w:sz w:val="24"/>
                <w:szCs w:val="24"/>
              </w:rPr>
            </w:pPr>
            <w: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Institute</w:t>
            </w:r>
            <w:r w:rsidR="00B456D5" w:rsidRPr="00B456D5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of Philosophy, Ss. Cyril und Methodius University in</w:t>
            </w:r>
            <w:r w:rsidR="00B456D5" w:rsidRPr="00B456D5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 xml:space="preserve"> Skopje</w:t>
            </w:r>
          </w:p>
        </w:tc>
        <w:tc>
          <w:tcPr>
            <w:tcW w:w="4530" w:type="dxa"/>
            <w:shd w:val="clear" w:color="auto" w:fill="auto"/>
          </w:tcPr>
          <w:p w14:paraId="33574F06" w14:textId="3C7C6682" w:rsidR="000E6337" w:rsidRPr="00B456D5" w:rsidRDefault="00B456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456D5">
              <w:rPr>
                <w:rFonts w:cstheme="minorHAnsi"/>
                <w:sz w:val="24"/>
                <w:szCs w:val="24"/>
              </w:rPr>
              <w:t>Skopje</w:t>
            </w:r>
          </w:p>
        </w:tc>
      </w:tr>
      <w:tr w:rsidR="000E6337" w:rsidRPr="00963018" w14:paraId="21E0585C" w14:textId="77777777" w:rsidTr="00B456D5">
        <w:tc>
          <w:tcPr>
            <w:tcW w:w="4532" w:type="dxa"/>
            <w:shd w:val="clear" w:color="auto" w:fill="auto"/>
          </w:tcPr>
          <w:p w14:paraId="3BEBE190" w14:textId="765E1F95" w:rsidR="000E6337" w:rsidRPr="00B456D5" w:rsidRDefault="00CD10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456D5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Faculty of Theology</w:t>
            </w:r>
            <w:r w:rsidR="00C25F29" w:rsidRPr="00B456D5">
              <w:rPr>
                <w:rFonts w:eastAsia="Times New Roman" w:cstheme="minorHAnsi"/>
                <w:sz w:val="24"/>
                <w:szCs w:val="24"/>
              </w:rPr>
              <w:t xml:space="preserve">, University of </w:t>
            </w:r>
            <w:r w:rsidR="00C25F29" w:rsidRPr="00B456D5">
              <w:rPr>
                <w:rFonts w:eastAsia="Times New Roman" w:cstheme="minorHAnsi"/>
                <w:b/>
                <w:sz w:val="24"/>
                <w:szCs w:val="24"/>
              </w:rPr>
              <w:t>Ljubljana</w:t>
            </w:r>
          </w:p>
        </w:tc>
        <w:tc>
          <w:tcPr>
            <w:tcW w:w="4530" w:type="dxa"/>
            <w:shd w:val="clear" w:color="auto" w:fill="auto"/>
          </w:tcPr>
          <w:p w14:paraId="63392229" w14:textId="77777777" w:rsidR="000E6337" w:rsidRPr="00B456D5" w:rsidRDefault="00C25F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456D5">
              <w:rPr>
                <w:rFonts w:cstheme="minorHAnsi"/>
                <w:sz w:val="24"/>
                <w:szCs w:val="24"/>
              </w:rPr>
              <w:t>Ljubljana</w:t>
            </w:r>
          </w:p>
        </w:tc>
      </w:tr>
      <w:tr w:rsidR="00B456D5" w:rsidRPr="00963018" w14:paraId="79C00314" w14:textId="77777777" w:rsidTr="00B456D5">
        <w:trPr>
          <w:trHeight w:val="264"/>
        </w:trPr>
        <w:tc>
          <w:tcPr>
            <w:tcW w:w="4532" w:type="dxa"/>
            <w:shd w:val="clear" w:color="auto" w:fill="auto"/>
          </w:tcPr>
          <w:p w14:paraId="33B3DC5E" w14:textId="49875E85" w:rsidR="00B456D5" w:rsidRPr="00B456D5" w:rsidRDefault="00B456D5">
            <w:pPr>
              <w:spacing w:after="0" w:line="240" w:lineRule="auto"/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B456D5">
              <w:rPr>
                <w:rFonts w:eastAsia="Times New Roman" w:cstheme="minorHAnsi"/>
                <w:sz w:val="24"/>
                <w:szCs w:val="24"/>
              </w:rPr>
              <w:t xml:space="preserve">Faculty of Education, University of </w:t>
            </w:r>
            <w:r w:rsidRPr="00B456D5">
              <w:rPr>
                <w:rFonts w:eastAsia="Times New Roman" w:cstheme="minorHAnsi"/>
                <w:b/>
                <w:bCs/>
                <w:sz w:val="24"/>
                <w:szCs w:val="24"/>
              </w:rPr>
              <w:t>Osijek</w:t>
            </w:r>
          </w:p>
        </w:tc>
        <w:tc>
          <w:tcPr>
            <w:tcW w:w="4530" w:type="dxa"/>
            <w:shd w:val="clear" w:color="auto" w:fill="auto"/>
          </w:tcPr>
          <w:p w14:paraId="1619E056" w14:textId="1152E9B9" w:rsidR="00B456D5" w:rsidRPr="00B456D5" w:rsidRDefault="00B456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456D5">
              <w:rPr>
                <w:rFonts w:cstheme="minorHAnsi"/>
                <w:sz w:val="24"/>
                <w:szCs w:val="24"/>
              </w:rPr>
              <w:t>FOOZ, Osijek</w:t>
            </w:r>
          </w:p>
        </w:tc>
      </w:tr>
      <w:tr w:rsidR="000E6337" w:rsidRPr="00963018" w14:paraId="4518B1D5" w14:textId="77777777" w:rsidTr="00B456D5">
        <w:tc>
          <w:tcPr>
            <w:tcW w:w="4532" w:type="dxa"/>
            <w:shd w:val="clear" w:color="auto" w:fill="auto"/>
          </w:tcPr>
          <w:p w14:paraId="008C2F57" w14:textId="47D320C0" w:rsidR="000E6337" w:rsidRPr="00B456D5" w:rsidRDefault="00CD10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456D5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Faculty of Catholic Theology, University of </w:t>
            </w:r>
            <w:r w:rsidRPr="00B456D5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Zagreb</w:t>
            </w:r>
          </w:p>
        </w:tc>
        <w:tc>
          <w:tcPr>
            <w:tcW w:w="4530" w:type="dxa"/>
            <w:shd w:val="clear" w:color="auto" w:fill="auto"/>
          </w:tcPr>
          <w:p w14:paraId="1D00DC86" w14:textId="65699002" w:rsidR="000E6337" w:rsidRPr="00B456D5" w:rsidRDefault="00CD10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456D5">
              <w:rPr>
                <w:rFonts w:cstheme="minorHAnsi"/>
                <w:sz w:val="24"/>
                <w:szCs w:val="24"/>
              </w:rPr>
              <w:t>KBF, Zagreb</w:t>
            </w:r>
          </w:p>
        </w:tc>
      </w:tr>
      <w:tr w:rsidR="000E6337" w:rsidRPr="00963018" w14:paraId="125C3840" w14:textId="77777777" w:rsidTr="00B456D5">
        <w:tc>
          <w:tcPr>
            <w:tcW w:w="4532" w:type="dxa"/>
            <w:shd w:val="clear" w:color="auto" w:fill="auto"/>
          </w:tcPr>
          <w:p w14:paraId="5F6B23B6" w14:textId="77777777" w:rsidR="000E6337" w:rsidRPr="00B456D5" w:rsidRDefault="00C25F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456D5">
              <w:rPr>
                <w:rFonts w:eastAsia="Times New Roman" w:cstheme="minorHAnsi"/>
                <w:sz w:val="24"/>
                <w:szCs w:val="24"/>
              </w:rPr>
              <w:t xml:space="preserve">Faculty of Philosophy and Religious Studies, University of </w:t>
            </w:r>
            <w:r w:rsidRPr="00B456D5">
              <w:rPr>
                <w:rFonts w:eastAsia="Times New Roman" w:cstheme="minorHAnsi"/>
                <w:b/>
                <w:bCs/>
                <w:sz w:val="24"/>
                <w:szCs w:val="24"/>
              </w:rPr>
              <w:t>Zagreb</w:t>
            </w:r>
          </w:p>
        </w:tc>
        <w:tc>
          <w:tcPr>
            <w:tcW w:w="4530" w:type="dxa"/>
            <w:shd w:val="clear" w:color="auto" w:fill="auto"/>
          </w:tcPr>
          <w:p w14:paraId="2C45F1DB" w14:textId="77777777" w:rsidR="000E6337" w:rsidRPr="00B456D5" w:rsidRDefault="00C25F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456D5">
              <w:rPr>
                <w:rFonts w:cstheme="minorHAnsi"/>
                <w:sz w:val="24"/>
                <w:szCs w:val="24"/>
              </w:rPr>
              <w:t>FFRZ, Zagreb</w:t>
            </w:r>
          </w:p>
        </w:tc>
      </w:tr>
    </w:tbl>
    <w:p w14:paraId="33FD4C0F" w14:textId="77777777" w:rsidR="000E6337" w:rsidRDefault="000E6337"/>
    <w:sectPr w:rsidR="000E6337">
      <w:type w:val="continuous"/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90A50" w14:textId="77777777" w:rsidR="00695C97" w:rsidRDefault="00695C97">
      <w:pPr>
        <w:spacing w:after="0" w:line="240" w:lineRule="auto"/>
      </w:pPr>
      <w:r>
        <w:separator/>
      </w:r>
    </w:p>
  </w:endnote>
  <w:endnote w:type="continuationSeparator" w:id="0">
    <w:p w14:paraId="29020FED" w14:textId="77777777" w:rsidR="00695C97" w:rsidRDefault="0069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5F868" w14:textId="77777777" w:rsidR="00695C97" w:rsidRDefault="00695C97">
      <w:r>
        <w:separator/>
      </w:r>
    </w:p>
  </w:footnote>
  <w:footnote w:type="continuationSeparator" w:id="0">
    <w:p w14:paraId="29C3500C" w14:textId="77777777" w:rsidR="00695C97" w:rsidRDefault="00695C97">
      <w:r>
        <w:continuationSeparator/>
      </w:r>
    </w:p>
  </w:footnote>
  <w:footnote w:id="1">
    <w:p w14:paraId="58EAEDCF" w14:textId="317EE3EA" w:rsidR="000E6337" w:rsidRDefault="00C25F29">
      <w:pPr>
        <w:pStyle w:val="Tekstfusnote"/>
      </w:pPr>
      <w:r>
        <w:rPr>
          <w:rStyle w:val="FootnoteCharacters"/>
        </w:rPr>
        <w:footnoteRef/>
      </w:r>
      <w:r>
        <w:t xml:space="preserve"> </w:t>
      </w:r>
      <w:proofErr w:type="spellStart"/>
      <w:r>
        <w:rPr>
          <w:lang w:val="hr-HR"/>
        </w:rPr>
        <w:t>We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need</w:t>
      </w:r>
      <w:proofErr w:type="spellEnd"/>
      <w:r>
        <w:rPr>
          <w:lang w:val="hr-HR"/>
        </w:rPr>
        <w:t xml:space="preserve"> to show </w:t>
      </w:r>
      <w:proofErr w:type="spellStart"/>
      <w:r>
        <w:rPr>
          <w:lang w:val="hr-HR"/>
        </w:rPr>
        <w:t>briefly</w:t>
      </w:r>
      <w:proofErr w:type="spellEnd"/>
      <w:r>
        <w:rPr>
          <w:lang w:val="hr-HR"/>
        </w:rPr>
        <w:t xml:space="preserve"> how are </w:t>
      </w:r>
      <w:proofErr w:type="spellStart"/>
      <w:r>
        <w:rPr>
          <w:lang w:val="hr-HR"/>
        </w:rPr>
        <w:t>mobilities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within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our</w:t>
      </w:r>
      <w:proofErr w:type="spellEnd"/>
      <w:r>
        <w:rPr>
          <w:lang w:val="hr-HR"/>
        </w:rPr>
        <w:t xml:space="preserve"> network </w:t>
      </w:r>
      <w:proofErr w:type="spellStart"/>
      <w:r>
        <w:rPr>
          <w:lang w:val="hr-HR"/>
        </w:rPr>
        <w:t>connect</w:t>
      </w:r>
      <w:r w:rsidR="00B456D5">
        <w:rPr>
          <w:lang w:val="hr-HR"/>
        </w:rPr>
        <w:t>ed</w:t>
      </w:r>
      <w:proofErr w:type="spellEnd"/>
      <w:r w:rsidR="00B456D5">
        <w:rPr>
          <w:lang w:val="hr-HR"/>
        </w:rPr>
        <w:t xml:space="preserve"> with </w:t>
      </w:r>
      <w:proofErr w:type="spellStart"/>
      <w:r w:rsidR="00B456D5">
        <w:rPr>
          <w:lang w:val="hr-HR"/>
        </w:rPr>
        <w:t>the</w:t>
      </w:r>
      <w:proofErr w:type="spellEnd"/>
      <w:r w:rsidR="00B456D5">
        <w:rPr>
          <w:lang w:val="hr-HR"/>
        </w:rPr>
        <w:t xml:space="preserve"> network profile ('</w:t>
      </w:r>
      <w:proofErr w:type="spellStart"/>
      <w:r w:rsidR="00B456D5">
        <w:rPr>
          <w:lang w:val="hr-HR"/>
        </w:rPr>
        <w:t>Interreligious</w:t>
      </w:r>
      <w:proofErr w:type="spellEnd"/>
      <w:r w:rsidR="00B456D5">
        <w:rPr>
          <w:lang w:val="hr-HR"/>
        </w:rPr>
        <w:t xml:space="preserve"> </w:t>
      </w:r>
      <w:proofErr w:type="spellStart"/>
      <w:r w:rsidR="00B456D5">
        <w:rPr>
          <w:lang w:val="hr-HR"/>
        </w:rPr>
        <w:t>Dialogue</w:t>
      </w:r>
      <w:proofErr w:type="spellEnd"/>
      <w:r w:rsidR="00B456D5">
        <w:rPr>
          <w:lang w:val="hr-HR"/>
        </w:rPr>
        <w:t xml:space="preserve"> </w:t>
      </w:r>
      <w:proofErr w:type="spellStart"/>
      <w:r w:rsidR="00B456D5">
        <w:rPr>
          <w:lang w:val="hr-HR"/>
        </w:rPr>
        <w:t>in</w:t>
      </w:r>
      <w:proofErr w:type="spellEnd"/>
      <w:r w:rsidR="00B456D5">
        <w:rPr>
          <w:lang w:val="hr-HR"/>
        </w:rPr>
        <w:t xml:space="preserve"> </w:t>
      </w:r>
      <w:proofErr w:type="spellStart"/>
      <w:r w:rsidR="00B456D5">
        <w:rPr>
          <w:lang w:val="hr-HR"/>
        </w:rPr>
        <w:t>Contemporary</w:t>
      </w:r>
      <w:proofErr w:type="spellEnd"/>
      <w:r w:rsidR="00B456D5">
        <w:rPr>
          <w:lang w:val="hr-HR"/>
        </w:rPr>
        <w:t xml:space="preserve"> </w:t>
      </w:r>
      <w:proofErr w:type="spellStart"/>
      <w:r w:rsidR="00B456D5">
        <w:rPr>
          <w:lang w:val="hr-HR"/>
        </w:rPr>
        <w:t>Context</w:t>
      </w:r>
      <w:proofErr w:type="spellEnd"/>
      <w:r>
        <w:rPr>
          <w:lang w:val="hr-HR"/>
        </w:rPr>
        <w:t xml:space="preserve">') </w:t>
      </w:r>
      <w:proofErr w:type="spellStart"/>
      <w:r>
        <w:rPr>
          <w:lang w:val="hr-HR"/>
        </w:rPr>
        <w:t>which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is</w:t>
      </w:r>
      <w:proofErr w:type="spellEnd"/>
      <w:r>
        <w:rPr>
          <w:lang w:val="hr-HR"/>
        </w:rPr>
        <w:t xml:space="preserve"> most </w:t>
      </w:r>
      <w:proofErr w:type="spellStart"/>
      <w:r>
        <w:rPr>
          <w:lang w:val="hr-HR"/>
        </w:rPr>
        <w:t>clearly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presented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„</w:t>
      </w:r>
      <w:proofErr w:type="spellStart"/>
      <w:r>
        <w:rPr>
          <w:lang w:val="hr-HR"/>
        </w:rPr>
        <w:t>Long</w:t>
      </w:r>
      <w:proofErr w:type="spellEnd"/>
      <w:r>
        <w:rPr>
          <w:lang w:val="hr-HR"/>
        </w:rPr>
        <w:t xml:space="preserve"> program </w:t>
      </w:r>
      <w:proofErr w:type="spellStart"/>
      <w:r>
        <w:rPr>
          <w:lang w:val="hr-HR"/>
        </w:rPr>
        <w:t>description</w:t>
      </w:r>
      <w:proofErr w:type="spellEnd"/>
      <w:r>
        <w:rPr>
          <w:lang w:val="hr-HR"/>
        </w:rPr>
        <w:t xml:space="preserve">“, </w:t>
      </w:r>
      <w:proofErr w:type="spellStart"/>
      <w:r>
        <w:rPr>
          <w:lang w:val="hr-HR"/>
        </w:rPr>
        <w:t>i.e</w:t>
      </w:r>
      <w:proofErr w:type="spellEnd"/>
      <w:r>
        <w:rPr>
          <w:lang w:val="hr-HR"/>
        </w:rPr>
        <w:t xml:space="preserve">.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what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respect</w:t>
      </w:r>
      <w:proofErr w:type="spellEnd"/>
      <w:r>
        <w:rPr>
          <w:lang w:val="hr-HR"/>
        </w:rPr>
        <w:t xml:space="preserve"> are </w:t>
      </w:r>
      <w:proofErr w:type="spellStart"/>
      <w:r>
        <w:rPr>
          <w:lang w:val="hr-HR"/>
        </w:rPr>
        <w:t>teachers</w:t>
      </w:r>
      <w:proofErr w:type="spellEnd"/>
      <w:r>
        <w:rPr>
          <w:lang w:val="hr-HR"/>
        </w:rPr>
        <w:t xml:space="preserve">' </w:t>
      </w:r>
      <w:proofErr w:type="spellStart"/>
      <w:r>
        <w:rPr>
          <w:lang w:val="hr-HR"/>
        </w:rPr>
        <w:t>lectures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interdisciplinary</w:t>
      </w:r>
      <w:proofErr w:type="spellEnd"/>
      <w:r w:rsidR="00B456D5">
        <w:rPr>
          <w:lang w:val="hr-H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A6334"/>
    <w:multiLevelType w:val="multilevel"/>
    <w:tmpl w:val="2884C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E2454"/>
    <w:multiLevelType w:val="multilevel"/>
    <w:tmpl w:val="2884C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772AA"/>
    <w:multiLevelType w:val="multilevel"/>
    <w:tmpl w:val="8A6015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87F7603"/>
    <w:multiLevelType w:val="multilevel"/>
    <w:tmpl w:val="20246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37"/>
    <w:rsid w:val="000E6337"/>
    <w:rsid w:val="002644C2"/>
    <w:rsid w:val="002A6E14"/>
    <w:rsid w:val="003136A8"/>
    <w:rsid w:val="00314C4F"/>
    <w:rsid w:val="0045603B"/>
    <w:rsid w:val="0057519D"/>
    <w:rsid w:val="00585230"/>
    <w:rsid w:val="00592663"/>
    <w:rsid w:val="005C7365"/>
    <w:rsid w:val="00695C97"/>
    <w:rsid w:val="00813CC8"/>
    <w:rsid w:val="00882746"/>
    <w:rsid w:val="00922D99"/>
    <w:rsid w:val="00963018"/>
    <w:rsid w:val="00B456D5"/>
    <w:rsid w:val="00C00128"/>
    <w:rsid w:val="00C25F29"/>
    <w:rsid w:val="00CD105F"/>
    <w:rsid w:val="00D653E8"/>
    <w:rsid w:val="00DF6445"/>
    <w:rsid w:val="00E14584"/>
    <w:rsid w:val="00E679F4"/>
    <w:rsid w:val="00ED1AA0"/>
    <w:rsid w:val="00FC5ED3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C3A3"/>
  <w15:docId w15:val="{D1DE2C98-8E30-4879-9673-8B90F6BC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fusnoteChar">
    <w:name w:val="Tekst fusnote Char"/>
    <w:basedOn w:val="Zadanifontodlomka"/>
    <w:link w:val="Tekstfusnote"/>
    <w:uiPriority w:val="99"/>
    <w:semiHidden/>
    <w:qFormat/>
    <w:rsid w:val="00157BE2"/>
    <w:rPr>
      <w:sz w:val="20"/>
      <w:szCs w:val="20"/>
      <w:lang w:val="en-GB"/>
    </w:rPr>
  </w:style>
  <w:style w:type="character" w:customStyle="1" w:styleId="FootnoteCharacters">
    <w:name w:val="Footnote Characters"/>
    <w:basedOn w:val="Zadanifontodlomka"/>
    <w:uiPriority w:val="99"/>
    <w:semiHidden/>
    <w:unhideWhenUsed/>
    <w:qFormat/>
    <w:rsid w:val="00157BE2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InternetLink">
    <w:name w:val="Internet Link"/>
    <w:basedOn w:val="Zadanifontodlomka"/>
    <w:uiPriority w:val="99"/>
    <w:unhideWhenUsed/>
    <w:rsid w:val="005B2956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qFormat/>
    <w:rsid w:val="005B2956"/>
    <w:rPr>
      <w:color w:val="605E5C"/>
      <w:shd w:val="clear" w:color="auto" w:fill="E1DFDD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Odlomakpopisa">
    <w:name w:val="List Paragraph"/>
    <w:basedOn w:val="Normal"/>
    <w:uiPriority w:val="34"/>
    <w:qFormat/>
    <w:rsid w:val="007E5A1A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157BE2"/>
    <w:pPr>
      <w:spacing w:after="0" w:line="240" w:lineRule="auto"/>
    </w:pPr>
    <w:rPr>
      <w:sz w:val="20"/>
      <w:szCs w:val="20"/>
    </w:rPr>
  </w:style>
  <w:style w:type="table" w:styleId="Reetkatablice">
    <w:name w:val="Table Grid"/>
    <w:basedOn w:val="Obinatablica"/>
    <w:uiPriority w:val="39"/>
    <w:rsid w:val="007E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52C99-B566-4076-9CA2-FFA5F4DB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1463</Characters>
  <Application>Microsoft Office Word</Application>
  <DocSecurity>0</DocSecurity>
  <Lines>21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ljfjezic@gmail.com</dc:creator>
  <dc:description/>
  <cp:lastModifiedBy>Luka Janeš</cp:lastModifiedBy>
  <cp:revision>3</cp:revision>
  <dcterms:created xsi:type="dcterms:W3CDTF">2024-10-24T10:23:00Z</dcterms:created>
  <dcterms:modified xsi:type="dcterms:W3CDTF">2024-10-24T10:36:00Z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